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2F5" w:rsidRPr="00B11995" w:rsidRDefault="000C62F5" w:rsidP="000C62F5">
      <w:pPr>
        <w:ind w:right="391"/>
        <w:jc w:val="center"/>
        <w:rPr>
          <w:rFonts w:cs="Arial"/>
          <w:b/>
          <w:sz w:val="36"/>
          <w:szCs w:val="36"/>
        </w:rPr>
      </w:pPr>
    </w:p>
    <w:p w:rsidR="000C62F5" w:rsidRPr="00B11995" w:rsidRDefault="000C62F5" w:rsidP="000C62F5">
      <w:pPr>
        <w:ind w:right="391"/>
        <w:jc w:val="center"/>
        <w:rPr>
          <w:rFonts w:cs="Arial"/>
          <w:b/>
          <w:sz w:val="36"/>
          <w:szCs w:val="36"/>
        </w:rPr>
      </w:pPr>
    </w:p>
    <w:p w:rsidR="000C62F5" w:rsidRPr="00B11995" w:rsidRDefault="000C62F5" w:rsidP="000C62F5">
      <w:pPr>
        <w:ind w:right="391"/>
        <w:jc w:val="center"/>
        <w:rPr>
          <w:rFonts w:cs="Arial"/>
          <w:b/>
          <w:sz w:val="36"/>
          <w:szCs w:val="36"/>
        </w:rPr>
      </w:pPr>
    </w:p>
    <w:p w:rsidR="000C62F5" w:rsidRPr="00B11995" w:rsidRDefault="000C62F5" w:rsidP="000C62F5">
      <w:pPr>
        <w:ind w:right="391"/>
        <w:jc w:val="center"/>
        <w:rPr>
          <w:rFonts w:cs="Arial"/>
          <w:b/>
          <w:sz w:val="36"/>
          <w:szCs w:val="36"/>
        </w:rPr>
      </w:pPr>
    </w:p>
    <w:p w:rsidR="000C62F5" w:rsidRPr="00B11995" w:rsidRDefault="000C62F5" w:rsidP="000C62F5">
      <w:pPr>
        <w:ind w:right="391"/>
        <w:jc w:val="center"/>
        <w:rPr>
          <w:rFonts w:cs="Arial"/>
          <w:b/>
          <w:sz w:val="36"/>
          <w:szCs w:val="36"/>
        </w:rPr>
      </w:pPr>
    </w:p>
    <w:p w:rsidR="000C62F5" w:rsidRPr="00B11995" w:rsidRDefault="000C62F5" w:rsidP="000C62F5">
      <w:pPr>
        <w:ind w:right="391"/>
        <w:jc w:val="center"/>
        <w:rPr>
          <w:rFonts w:cs="Arial"/>
          <w:b/>
          <w:sz w:val="36"/>
          <w:szCs w:val="36"/>
        </w:rPr>
      </w:pPr>
    </w:p>
    <w:p w:rsidR="000C62F5" w:rsidRPr="00B11995" w:rsidRDefault="000C62F5" w:rsidP="000C62F5">
      <w:pPr>
        <w:ind w:right="391"/>
        <w:jc w:val="center"/>
        <w:rPr>
          <w:rFonts w:cs="Arial"/>
          <w:b/>
          <w:sz w:val="36"/>
          <w:szCs w:val="36"/>
        </w:rPr>
      </w:pPr>
    </w:p>
    <w:p w:rsidR="000C62F5" w:rsidRPr="00B11995" w:rsidRDefault="000C62F5" w:rsidP="000C62F5">
      <w:pPr>
        <w:ind w:right="391"/>
        <w:jc w:val="center"/>
        <w:rPr>
          <w:rFonts w:cs="Arial"/>
          <w:b/>
          <w:sz w:val="36"/>
          <w:szCs w:val="36"/>
        </w:rPr>
      </w:pPr>
    </w:p>
    <w:p w:rsidR="000C62F5" w:rsidRPr="00B11995" w:rsidRDefault="000C62F5" w:rsidP="000C62F5">
      <w:pPr>
        <w:ind w:right="391"/>
        <w:jc w:val="center"/>
        <w:rPr>
          <w:rFonts w:cs="Arial"/>
          <w:b/>
          <w:sz w:val="36"/>
          <w:szCs w:val="36"/>
        </w:rPr>
      </w:pPr>
    </w:p>
    <w:p w:rsidR="000C62F5" w:rsidRPr="0059797B" w:rsidRDefault="000C62F5" w:rsidP="000C62F5">
      <w:pPr>
        <w:ind w:right="391"/>
        <w:jc w:val="center"/>
        <w:outlineLvl w:val="0"/>
        <w:rPr>
          <w:b/>
          <w:sz w:val="60"/>
          <w:szCs w:val="60"/>
        </w:rPr>
      </w:pPr>
      <w:r w:rsidRPr="0059797B">
        <w:rPr>
          <w:b/>
          <w:sz w:val="60"/>
          <w:szCs w:val="60"/>
        </w:rPr>
        <w:t>Техническое задание</w:t>
      </w:r>
    </w:p>
    <w:p w:rsidR="000C62F5" w:rsidRPr="00B11995" w:rsidRDefault="000C62F5" w:rsidP="000C62F5">
      <w:pPr>
        <w:ind w:right="391"/>
        <w:jc w:val="center"/>
        <w:rPr>
          <w:rFonts w:cs="Arial"/>
          <w:b/>
          <w:sz w:val="36"/>
          <w:szCs w:val="36"/>
        </w:rPr>
      </w:pPr>
    </w:p>
    <w:p w:rsidR="000C62F5" w:rsidRDefault="000C62F5" w:rsidP="000C62F5">
      <w:pPr>
        <w:ind w:right="391"/>
        <w:jc w:val="center"/>
        <w:rPr>
          <w:rFonts w:cs="Arial"/>
          <w:b/>
          <w:sz w:val="28"/>
          <w:szCs w:val="28"/>
        </w:rPr>
      </w:pPr>
      <w:r w:rsidRPr="00B11995">
        <w:rPr>
          <w:rFonts w:cs="Arial"/>
          <w:b/>
          <w:sz w:val="28"/>
          <w:szCs w:val="28"/>
        </w:rPr>
        <w:t xml:space="preserve">на </w:t>
      </w:r>
      <w:r>
        <w:rPr>
          <w:rFonts w:cs="Arial"/>
          <w:b/>
          <w:sz w:val="28"/>
          <w:szCs w:val="28"/>
        </w:rPr>
        <w:t>доработку по тендерной работе часть 2.</w:t>
      </w:r>
    </w:p>
    <w:p w:rsidR="000C62F5" w:rsidRDefault="000C62F5" w:rsidP="000C62F5">
      <w:pPr>
        <w:ind w:right="391"/>
        <w:jc w:val="center"/>
        <w:rPr>
          <w:rFonts w:cs="Arial"/>
          <w:b/>
          <w:sz w:val="28"/>
          <w:szCs w:val="28"/>
        </w:rPr>
      </w:pPr>
    </w:p>
    <w:p w:rsidR="000C62F5" w:rsidRDefault="000C62F5" w:rsidP="000C62F5">
      <w:pPr>
        <w:ind w:right="391"/>
        <w:jc w:val="center"/>
        <w:rPr>
          <w:rFonts w:cs="Arial"/>
          <w:b/>
          <w:sz w:val="28"/>
          <w:szCs w:val="28"/>
        </w:rPr>
      </w:pPr>
    </w:p>
    <w:p w:rsidR="000C62F5" w:rsidRDefault="000C62F5" w:rsidP="000C62F5">
      <w:pPr>
        <w:ind w:right="391"/>
        <w:jc w:val="center"/>
        <w:rPr>
          <w:rFonts w:cs="Arial"/>
          <w:b/>
          <w:sz w:val="28"/>
          <w:szCs w:val="28"/>
        </w:rPr>
      </w:pPr>
    </w:p>
    <w:p w:rsidR="000C62F5" w:rsidRDefault="000C62F5" w:rsidP="000C62F5">
      <w:pPr>
        <w:ind w:right="391"/>
        <w:jc w:val="center"/>
        <w:rPr>
          <w:rFonts w:cs="Arial"/>
          <w:b/>
          <w:sz w:val="28"/>
          <w:szCs w:val="28"/>
        </w:rPr>
      </w:pPr>
    </w:p>
    <w:p w:rsidR="000C62F5" w:rsidRDefault="000C62F5" w:rsidP="000C62F5">
      <w:pPr>
        <w:ind w:right="391"/>
        <w:jc w:val="center"/>
        <w:rPr>
          <w:rFonts w:cs="Arial"/>
          <w:b/>
          <w:sz w:val="28"/>
          <w:szCs w:val="28"/>
        </w:rPr>
      </w:pPr>
    </w:p>
    <w:p w:rsidR="000C62F5" w:rsidRDefault="000C62F5" w:rsidP="000C62F5">
      <w:pPr>
        <w:ind w:right="391"/>
        <w:jc w:val="center"/>
        <w:rPr>
          <w:rFonts w:cs="Arial"/>
          <w:b/>
          <w:sz w:val="28"/>
          <w:szCs w:val="28"/>
        </w:rPr>
      </w:pPr>
    </w:p>
    <w:p w:rsidR="000C62F5" w:rsidRDefault="000C62F5" w:rsidP="000C62F5">
      <w:pPr>
        <w:ind w:right="391"/>
        <w:jc w:val="center"/>
        <w:rPr>
          <w:rFonts w:cs="Arial"/>
          <w:b/>
          <w:sz w:val="28"/>
          <w:szCs w:val="28"/>
        </w:rPr>
      </w:pPr>
    </w:p>
    <w:p w:rsidR="000C62F5" w:rsidRDefault="000C62F5" w:rsidP="000C62F5">
      <w:pPr>
        <w:ind w:right="391"/>
        <w:jc w:val="center"/>
        <w:rPr>
          <w:rFonts w:cs="Arial"/>
          <w:b/>
          <w:sz w:val="28"/>
          <w:szCs w:val="28"/>
        </w:rPr>
      </w:pPr>
    </w:p>
    <w:p w:rsidR="000C62F5" w:rsidRDefault="000C62F5" w:rsidP="000C62F5">
      <w:pPr>
        <w:ind w:right="391"/>
        <w:jc w:val="center"/>
        <w:rPr>
          <w:rFonts w:cs="Arial"/>
          <w:b/>
          <w:sz w:val="28"/>
          <w:szCs w:val="28"/>
        </w:rPr>
      </w:pPr>
    </w:p>
    <w:p w:rsidR="000C62F5" w:rsidRDefault="000C62F5" w:rsidP="000C62F5">
      <w:pPr>
        <w:ind w:right="391"/>
        <w:jc w:val="center"/>
        <w:rPr>
          <w:rFonts w:cs="Arial"/>
          <w:b/>
          <w:sz w:val="28"/>
          <w:szCs w:val="28"/>
        </w:rPr>
      </w:pPr>
    </w:p>
    <w:p w:rsidR="000C62F5" w:rsidRDefault="000C62F5" w:rsidP="000C62F5">
      <w:pPr>
        <w:ind w:right="391"/>
        <w:jc w:val="center"/>
        <w:rPr>
          <w:rFonts w:cs="Arial"/>
          <w:b/>
          <w:sz w:val="28"/>
          <w:szCs w:val="28"/>
        </w:rPr>
      </w:pPr>
    </w:p>
    <w:p w:rsidR="000C62F5" w:rsidRDefault="000C62F5" w:rsidP="000C62F5">
      <w:pPr>
        <w:ind w:right="391"/>
        <w:jc w:val="center"/>
        <w:rPr>
          <w:rFonts w:cs="Arial"/>
          <w:b/>
          <w:sz w:val="28"/>
          <w:szCs w:val="28"/>
        </w:rPr>
      </w:pPr>
    </w:p>
    <w:p w:rsidR="000C62F5" w:rsidRDefault="000C62F5" w:rsidP="000C62F5">
      <w:pPr>
        <w:ind w:right="391"/>
        <w:jc w:val="center"/>
        <w:rPr>
          <w:rFonts w:cs="Arial"/>
          <w:b/>
          <w:sz w:val="28"/>
          <w:szCs w:val="28"/>
        </w:rPr>
      </w:pPr>
    </w:p>
    <w:p w:rsidR="000C62F5" w:rsidRDefault="000C62F5" w:rsidP="000C62F5">
      <w:pPr>
        <w:ind w:right="391"/>
        <w:jc w:val="center"/>
        <w:rPr>
          <w:rFonts w:cs="Arial"/>
          <w:b/>
          <w:sz w:val="28"/>
          <w:szCs w:val="28"/>
        </w:rPr>
      </w:pPr>
    </w:p>
    <w:p w:rsidR="000C62F5" w:rsidRDefault="000C62F5" w:rsidP="000C62F5">
      <w:pPr>
        <w:ind w:right="391"/>
        <w:jc w:val="center"/>
        <w:rPr>
          <w:rFonts w:cs="Arial"/>
          <w:b/>
          <w:sz w:val="28"/>
          <w:szCs w:val="28"/>
        </w:rPr>
      </w:pPr>
    </w:p>
    <w:p w:rsidR="000C62F5" w:rsidRDefault="000C62F5" w:rsidP="000C62F5">
      <w:pPr>
        <w:ind w:right="391"/>
        <w:jc w:val="center"/>
        <w:rPr>
          <w:rFonts w:cs="Arial"/>
          <w:b/>
          <w:sz w:val="28"/>
          <w:szCs w:val="28"/>
        </w:rPr>
      </w:pPr>
    </w:p>
    <w:p w:rsidR="000C62F5" w:rsidRDefault="000C62F5" w:rsidP="000C62F5">
      <w:pPr>
        <w:ind w:right="391"/>
        <w:jc w:val="center"/>
        <w:rPr>
          <w:rFonts w:cs="Arial"/>
          <w:b/>
          <w:sz w:val="28"/>
          <w:szCs w:val="28"/>
        </w:rPr>
      </w:pPr>
    </w:p>
    <w:p w:rsidR="000C62F5" w:rsidRDefault="000C62F5" w:rsidP="000C62F5">
      <w:pPr>
        <w:ind w:right="391"/>
        <w:jc w:val="center"/>
        <w:rPr>
          <w:rFonts w:cs="Arial"/>
          <w:b/>
          <w:sz w:val="28"/>
          <w:szCs w:val="28"/>
        </w:rPr>
      </w:pPr>
    </w:p>
    <w:p w:rsidR="000C62F5" w:rsidRDefault="000C62F5" w:rsidP="000C62F5">
      <w:pPr>
        <w:ind w:right="391"/>
        <w:jc w:val="center"/>
        <w:rPr>
          <w:rFonts w:cs="Arial"/>
          <w:b/>
          <w:sz w:val="28"/>
          <w:szCs w:val="28"/>
        </w:rPr>
      </w:pPr>
    </w:p>
    <w:p w:rsidR="000C62F5" w:rsidRDefault="000C62F5" w:rsidP="000C62F5">
      <w:pPr>
        <w:ind w:right="391"/>
        <w:jc w:val="center"/>
        <w:rPr>
          <w:rFonts w:cs="Arial"/>
          <w:b/>
          <w:sz w:val="28"/>
          <w:szCs w:val="28"/>
        </w:rPr>
      </w:pPr>
    </w:p>
    <w:p w:rsidR="000C62F5" w:rsidRDefault="000C62F5" w:rsidP="000C62F5">
      <w:pPr>
        <w:ind w:right="391"/>
        <w:jc w:val="center"/>
        <w:rPr>
          <w:rFonts w:cs="Arial"/>
          <w:b/>
          <w:sz w:val="28"/>
          <w:szCs w:val="28"/>
        </w:rPr>
      </w:pPr>
    </w:p>
    <w:p w:rsidR="000C62F5" w:rsidRDefault="000C62F5" w:rsidP="000C62F5">
      <w:pPr>
        <w:ind w:right="391"/>
        <w:jc w:val="center"/>
        <w:rPr>
          <w:rFonts w:cs="Arial"/>
          <w:b/>
          <w:sz w:val="28"/>
          <w:szCs w:val="28"/>
        </w:rPr>
      </w:pPr>
    </w:p>
    <w:p w:rsidR="000C62F5" w:rsidRDefault="000C62F5" w:rsidP="000C62F5">
      <w:pPr>
        <w:ind w:right="391"/>
        <w:jc w:val="center"/>
        <w:rPr>
          <w:rFonts w:cs="Arial"/>
          <w:b/>
          <w:sz w:val="28"/>
          <w:szCs w:val="28"/>
        </w:rPr>
      </w:pPr>
    </w:p>
    <w:p w:rsidR="000C62F5" w:rsidRDefault="000C62F5" w:rsidP="000C62F5">
      <w:pPr>
        <w:ind w:right="391"/>
        <w:jc w:val="center"/>
      </w:pPr>
    </w:p>
    <w:p w:rsidR="000C62F5" w:rsidRDefault="000C62F5" w:rsidP="000C62F5">
      <w:pPr>
        <w:ind w:right="391"/>
        <w:jc w:val="center"/>
      </w:pPr>
    </w:p>
    <w:p w:rsidR="000C62F5" w:rsidRPr="00F32692" w:rsidRDefault="000C62F5" w:rsidP="000C62F5">
      <w:pPr>
        <w:ind w:right="391"/>
        <w:jc w:val="center"/>
        <w:outlineLvl w:val="0"/>
      </w:pPr>
      <w:r w:rsidRPr="00F32692">
        <w:t>Санкт-Петербург</w:t>
      </w:r>
    </w:p>
    <w:p w:rsidR="000C62F5" w:rsidRPr="00B11995" w:rsidRDefault="000C62F5" w:rsidP="000C62F5">
      <w:pPr>
        <w:ind w:right="391"/>
        <w:jc w:val="center"/>
      </w:pPr>
      <w:r w:rsidRPr="00F32692">
        <w:t>20</w:t>
      </w:r>
      <w:r>
        <w:t>15</w:t>
      </w:r>
    </w:p>
    <w:p w:rsidR="000C62F5" w:rsidRDefault="000C62F5" w:rsidP="000C62F5">
      <w:pPr>
        <w:ind w:left="360" w:right="391"/>
        <w:jc w:val="center"/>
        <w:rPr>
          <w:sz w:val="32"/>
          <w:szCs w:val="32"/>
        </w:rPr>
      </w:pPr>
      <w:r>
        <w:rPr>
          <w:sz w:val="32"/>
          <w:szCs w:val="32"/>
        </w:rPr>
        <w:br w:type="page"/>
      </w:r>
      <w:r>
        <w:rPr>
          <w:sz w:val="32"/>
          <w:szCs w:val="32"/>
        </w:rPr>
        <w:lastRenderedPageBreak/>
        <w:t>Сокращения:</w:t>
      </w:r>
    </w:p>
    <w:p w:rsidR="000C62F5" w:rsidRDefault="000C62F5" w:rsidP="000C62F5">
      <w:pPr>
        <w:ind w:left="360" w:right="391"/>
        <w:jc w:val="center"/>
        <w:rPr>
          <w:sz w:val="32"/>
          <w:szCs w:val="32"/>
        </w:rPr>
      </w:pPr>
    </w:p>
    <w:p w:rsidR="000C62F5" w:rsidRDefault="000C62F5" w:rsidP="000C62F5">
      <w:pPr>
        <w:ind w:left="360" w:right="391"/>
        <w:jc w:val="both"/>
      </w:pPr>
      <w:r w:rsidRPr="006961D7">
        <w:t>ТРТ – таблица регистрации тендеров</w:t>
      </w:r>
    </w:p>
    <w:p w:rsidR="000C62F5" w:rsidRDefault="000C62F5" w:rsidP="000C62F5">
      <w:pPr>
        <w:ind w:left="360" w:right="391"/>
        <w:jc w:val="both"/>
      </w:pPr>
      <w:r w:rsidRPr="00C51F42">
        <w:t>ИО – инф</w:t>
      </w:r>
      <w:r>
        <w:t>ормационный объект</w:t>
      </w:r>
    </w:p>
    <w:p w:rsidR="000C62F5" w:rsidRDefault="000C62F5" w:rsidP="000C62F5">
      <w:pPr>
        <w:ind w:left="360" w:right="391"/>
        <w:jc w:val="both"/>
      </w:pPr>
      <w:r>
        <w:t>КЗ – конкурсная заявка</w:t>
      </w:r>
    </w:p>
    <w:p w:rsidR="000C62F5" w:rsidRDefault="000C62F5" w:rsidP="000C62F5">
      <w:pPr>
        <w:ind w:left="360" w:right="391"/>
        <w:jc w:val="both"/>
      </w:pPr>
      <w:r>
        <w:t>ОЗ – отдел закупки</w:t>
      </w:r>
    </w:p>
    <w:p w:rsidR="000C62F5" w:rsidRPr="000C62F5" w:rsidRDefault="000C62F5" w:rsidP="000C62F5">
      <w:pPr>
        <w:ind w:left="360" w:right="391"/>
        <w:jc w:val="both"/>
      </w:pPr>
      <w:r>
        <w:t>ОРТ – отдел ремонта техники</w:t>
      </w:r>
    </w:p>
    <w:p w:rsidR="000C62F5" w:rsidRPr="007709D8" w:rsidRDefault="000C62F5" w:rsidP="000C62F5">
      <w:pPr>
        <w:numPr>
          <w:ilvl w:val="0"/>
          <w:numId w:val="1"/>
        </w:numPr>
        <w:ind w:right="391"/>
        <w:jc w:val="both"/>
        <w:rPr>
          <w:sz w:val="32"/>
          <w:szCs w:val="32"/>
        </w:rPr>
      </w:pPr>
      <w:r>
        <w:rPr>
          <w:sz w:val="32"/>
          <w:szCs w:val="32"/>
        </w:rPr>
        <w:br w:type="page"/>
      </w:r>
      <w:r w:rsidRPr="007709D8">
        <w:rPr>
          <w:sz w:val="32"/>
          <w:szCs w:val="32"/>
        </w:rPr>
        <w:lastRenderedPageBreak/>
        <w:t>Введение</w:t>
      </w:r>
    </w:p>
    <w:p w:rsidR="000C62F5" w:rsidRDefault="000C62F5" w:rsidP="000C62F5">
      <w:pPr>
        <w:ind w:left="360" w:right="391"/>
        <w:jc w:val="both"/>
      </w:pPr>
    </w:p>
    <w:p w:rsidR="000C62F5" w:rsidRDefault="000C62F5" w:rsidP="000C62F5">
      <w:pPr>
        <w:ind w:left="360" w:right="391" w:firstLine="348"/>
        <w:jc w:val="both"/>
      </w:pPr>
      <w:r>
        <w:t>Данное техническое задание описывает учет исполнения выигранных тендеров компании «Венета». Приведен перечень информационных объектов, статусов, бизнес процесс, а также перечень алгоритмов.</w:t>
      </w:r>
    </w:p>
    <w:p w:rsidR="000C62F5" w:rsidRDefault="000C62F5">
      <w:r>
        <w:br w:type="page"/>
      </w:r>
    </w:p>
    <w:p w:rsidR="000C62F5" w:rsidRDefault="000C62F5" w:rsidP="000C62F5">
      <w:pPr>
        <w:numPr>
          <w:ilvl w:val="0"/>
          <w:numId w:val="2"/>
        </w:numPr>
        <w:ind w:right="391"/>
        <w:jc w:val="both"/>
      </w:pPr>
      <w:r>
        <w:rPr>
          <w:sz w:val="32"/>
          <w:szCs w:val="32"/>
        </w:rPr>
        <w:lastRenderedPageBreak/>
        <w:t>Описание процесса</w:t>
      </w:r>
      <w:r>
        <w:t xml:space="preserve"> </w:t>
      </w:r>
    </w:p>
    <w:p w:rsidR="000C62F5" w:rsidRDefault="000C62F5" w:rsidP="000C62F5">
      <w:pPr>
        <w:ind w:left="360" w:right="391"/>
        <w:jc w:val="both"/>
      </w:pPr>
    </w:p>
    <w:p w:rsidR="000C62F5" w:rsidRDefault="000C62F5" w:rsidP="000C62F5">
      <w:pPr>
        <w:ind w:left="360" w:right="391"/>
        <w:jc w:val="both"/>
      </w:pPr>
      <w:r>
        <w:t xml:space="preserve">1. В случае </w:t>
      </w:r>
      <w:r w:rsidRPr="00E16761">
        <w:t>если хотя бы один лот</w:t>
      </w:r>
      <w:r>
        <w:t xml:space="preserve"> был выигран, а также все лоты приобрели один из статусов: «выигран» или «проигран», ТРТ приобретает статус «Выигран». Также формируется заявка на платеж для обеспечения контракта. При оплате заявки на платеж, формируется счет «подготовлен», вид счета «возврат обеспечения». ТРТ переводится на статус «контракт обеспечен».</w:t>
      </w:r>
    </w:p>
    <w:p w:rsidR="000C62F5" w:rsidRDefault="000C62F5" w:rsidP="000C62F5">
      <w:pPr>
        <w:ind w:left="360" w:right="391"/>
        <w:jc w:val="both"/>
      </w:pPr>
    </w:p>
    <w:p w:rsidR="000C62F5" w:rsidRDefault="000C62F5" w:rsidP="000C62F5">
      <w:pPr>
        <w:ind w:left="360" w:right="391"/>
        <w:jc w:val="both"/>
      </w:pPr>
      <w:r>
        <w:t>2. Автоматически формируется договор (тип договора – тендерный) в статусе «Подготовлен», приходят сообщения Менеджеру ТО для создания спецификаций.</w:t>
      </w:r>
    </w:p>
    <w:p w:rsidR="000C62F5" w:rsidRDefault="000C62F5" w:rsidP="000C62F5">
      <w:pPr>
        <w:ind w:left="360" w:right="391"/>
        <w:jc w:val="both"/>
      </w:pPr>
    </w:p>
    <w:p w:rsidR="000C62F5" w:rsidRDefault="000C62F5" w:rsidP="000C62F5">
      <w:pPr>
        <w:ind w:left="360" w:right="391"/>
        <w:jc w:val="both"/>
      </w:pPr>
      <w:r>
        <w:t>3. Менеджер ТО готовит спецификации по заявкам на услугу, заявкам на ремонт техники, оригиналу для данного тендерного договора.</w:t>
      </w:r>
    </w:p>
    <w:p w:rsidR="000C62F5" w:rsidRDefault="000C62F5" w:rsidP="000C62F5">
      <w:pPr>
        <w:ind w:left="360" w:right="391"/>
        <w:jc w:val="both"/>
      </w:pPr>
    </w:p>
    <w:p w:rsidR="000C62F5" w:rsidRDefault="000C62F5" w:rsidP="000C62F5">
      <w:pPr>
        <w:ind w:left="360" w:right="391"/>
        <w:jc w:val="both"/>
      </w:pPr>
      <w:r>
        <w:t>4. Бизнес процесс обработок заявок идет в штатном режиме. Заявки прикрепляются к тендеру, ЗК идут обязательно по тендерному договору.</w:t>
      </w:r>
    </w:p>
    <w:p w:rsidR="000C62F5" w:rsidRDefault="000C62F5" w:rsidP="000C62F5">
      <w:pPr>
        <w:ind w:left="360" w:right="391"/>
        <w:jc w:val="both"/>
      </w:pPr>
    </w:p>
    <w:p w:rsidR="000C62F5" w:rsidRDefault="000C62F5" w:rsidP="000C62F5">
      <w:pPr>
        <w:ind w:left="360" w:right="391"/>
        <w:jc w:val="both"/>
      </w:pPr>
      <w:r>
        <w:t>5. Внутренние счета обрабатываются и объединяются, после чего выставляются заказчику. Если суммы не хватает, то формируется еще один счет (без позиций счета) для закрытия платежа.</w:t>
      </w:r>
    </w:p>
    <w:p w:rsidR="000C62F5" w:rsidRDefault="000C62F5" w:rsidP="000C62F5">
      <w:pPr>
        <w:ind w:left="360" w:right="391"/>
        <w:jc w:val="both"/>
      </w:pPr>
    </w:p>
    <w:p w:rsidR="000C62F5" w:rsidRDefault="000C62F5" w:rsidP="000C62F5">
      <w:pPr>
        <w:ind w:left="360" w:right="391"/>
        <w:jc w:val="both"/>
      </w:pPr>
      <w:r>
        <w:t>6. При получении платежа, происходит их привязка к ТРТ</w:t>
      </w:r>
    </w:p>
    <w:p w:rsidR="000C62F5" w:rsidRDefault="000C62F5" w:rsidP="000C62F5">
      <w:pPr>
        <w:ind w:left="360" w:right="391"/>
        <w:jc w:val="both"/>
      </w:pPr>
    </w:p>
    <w:p w:rsidR="000C62F5" w:rsidRDefault="000C62F5" w:rsidP="000C62F5">
      <w:pPr>
        <w:ind w:left="360" w:right="391"/>
        <w:jc w:val="both"/>
      </w:pPr>
      <w:r>
        <w:t>7. После оплаты счета заказчиком, при поступлении платежа происходит пересчет полей:</w:t>
      </w:r>
    </w:p>
    <w:p w:rsidR="000C62F5" w:rsidRDefault="000C62F5" w:rsidP="000C62F5">
      <w:pPr>
        <w:ind w:left="360" w:right="391"/>
        <w:jc w:val="both"/>
      </w:pPr>
      <w:r>
        <w:t xml:space="preserve">- Сумма по </w:t>
      </w:r>
      <w:proofErr w:type="spellStart"/>
      <w:r>
        <w:t>прайсу</w:t>
      </w:r>
      <w:proofErr w:type="spellEnd"/>
      <w:r>
        <w:t xml:space="preserve"> (на какую сумму оказано услуг по </w:t>
      </w:r>
      <w:proofErr w:type="spellStart"/>
      <w:r>
        <w:t>прайсовым</w:t>
      </w:r>
      <w:proofErr w:type="spellEnd"/>
      <w:r>
        <w:t xml:space="preserve"> ценам по данному тендерному договору. По услугам суммируем поля «стоимость по ремонту», по услугам по ремонту – суммируем поля «расчетная стоимость по </w:t>
      </w:r>
      <w:proofErr w:type="spellStart"/>
      <w:r>
        <w:t>прайсам</w:t>
      </w:r>
      <w:proofErr w:type="spellEnd"/>
      <w:r>
        <w:t xml:space="preserve">, по поставке </w:t>
      </w:r>
      <w:proofErr w:type="spellStart"/>
      <w:r>
        <w:t>оргинала</w:t>
      </w:r>
      <w:proofErr w:type="spellEnd"/>
      <w:r>
        <w:t xml:space="preserve"> – суммируем поля «</w:t>
      </w:r>
      <w:r w:rsidRPr="008B55B9">
        <w:t>Цена товара(</w:t>
      </w:r>
      <w:proofErr w:type="spellStart"/>
      <w:r w:rsidRPr="008B55B9">
        <w:t>рекоменд</w:t>
      </w:r>
      <w:proofErr w:type="spellEnd"/>
      <w:r w:rsidRPr="008B55B9">
        <w:t>. по филиалу)</w:t>
      </w:r>
      <w:r>
        <w:t>»).</w:t>
      </w:r>
    </w:p>
    <w:p w:rsidR="000C62F5" w:rsidRDefault="000C62F5" w:rsidP="000C62F5">
      <w:pPr>
        <w:ind w:left="360" w:right="391"/>
        <w:jc w:val="both"/>
      </w:pPr>
      <w:r>
        <w:t xml:space="preserve">- Сумма материальных затрат (суммируем поле себестоимость по всем оплаченным счетам по данному </w:t>
      </w:r>
      <w:proofErr w:type="spellStart"/>
      <w:r>
        <w:t>тедерному</w:t>
      </w:r>
      <w:proofErr w:type="spellEnd"/>
      <w:r>
        <w:t xml:space="preserve"> договору).</w:t>
      </w:r>
    </w:p>
    <w:p w:rsidR="000C62F5" w:rsidRDefault="000C62F5" w:rsidP="000C62F5">
      <w:pPr>
        <w:ind w:left="360" w:right="391"/>
        <w:jc w:val="both"/>
      </w:pPr>
      <w:r>
        <w:t xml:space="preserve">- Разница стоимости по </w:t>
      </w:r>
      <w:proofErr w:type="spellStart"/>
      <w:r>
        <w:t>прайсу</w:t>
      </w:r>
      <w:proofErr w:type="spellEnd"/>
      <w:r>
        <w:t xml:space="preserve"> и спецификации (суммируем по всем счетам (цена по </w:t>
      </w:r>
      <w:proofErr w:type="spellStart"/>
      <w:r>
        <w:t>прайсу</w:t>
      </w:r>
      <w:proofErr w:type="spellEnd"/>
      <w:r>
        <w:t xml:space="preserve"> оплаченного счета – цена по спецификации по этим позициям))</w:t>
      </w:r>
    </w:p>
    <w:p w:rsidR="000C62F5" w:rsidRDefault="000C62F5" w:rsidP="000C62F5">
      <w:pPr>
        <w:ind w:left="360" w:right="391"/>
        <w:jc w:val="both"/>
      </w:pPr>
      <w:r>
        <w:t>- Разница поступивших платежей и себестоимости  (суммируем по всем счетам (цена по поступившим платежам по данному тендерному договору – себестоимость оплаченного счета))</w:t>
      </w:r>
    </w:p>
    <w:p w:rsidR="000C62F5" w:rsidRDefault="000C62F5" w:rsidP="000C62F5">
      <w:pPr>
        <w:ind w:left="360" w:right="391"/>
        <w:jc w:val="both"/>
      </w:pPr>
    </w:p>
    <w:p w:rsidR="000C62F5" w:rsidRPr="000C62F5" w:rsidRDefault="000C62F5" w:rsidP="000C62F5">
      <w:pPr>
        <w:ind w:left="360" w:right="391"/>
        <w:jc w:val="both"/>
      </w:pPr>
      <w:r>
        <w:t xml:space="preserve"> Если сумма по </w:t>
      </w:r>
      <w:proofErr w:type="spellStart"/>
      <w:r>
        <w:t>прайсу</w:t>
      </w:r>
      <w:proofErr w:type="spellEnd"/>
      <w:r>
        <w:t xml:space="preserve"> достигает 90% от суммы контракта или до конца работы с клиентом остался 1 месяц, то посылается уведомление руководителю тендерного отдела для контроля.</w:t>
      </w:r>
    </w:p>
    <w:p w:rsidR="000C62F5" w:rsidRPr="000C62F5" w:rsidRDefault="000C62F5" w:rsidP="000C62F5">
      <w:pPr>
        <w:ind w:left="360" w:right="391"/>
        <w:jc w:val="both"/>
      </w:pPr>
    </w:p>
    <w:p w:rsidR="000C62F5" w:rsidRDefault="000C62F5">
      <w:r>
        <w:br w:type="page"/>
      </w:r>
    </w:p>
    <w:p w:rsidR="000C62F5" w:rsidRDefault="000C62F5" w:rsidP="000C62F5">
      <w:pPr>
        <w:ind w:right="391" w:firstLine="360"/>
        <w:jc w:val="both"/>
        <w:rPr>
          <w:sz w:val="32"/>
          <w:szCs w:val="32"/>
        </w:rPr>
      </w:pPr>
      <w:r w:rsidRPr="00782C28">
        <w:rPr>
          <w:sz w:val="32"/>
          <w:szCs w:val="32"/>
        </w:rPr>
        <w:lastRenderedPageBreak/>
        <w:t>3. Роли</w:t>
      </w:r>
      <w:r w:rsidRPr="00EF5119">
        <w:rPr>
          <w:sz w:val="32"/>
          <w:szCs w:val="32"/>
        </w:rPr>
        <w:t xml:space="preserve">, </w:t>
      </w:r>
      <w:r>
        <w:rPr>
          <w:sz w:val="32"/>
          <w:szCs w:val="32"/>
        </w:rPr>
        <w:t xml:space="preserve">необходимые для </w:t>
      </w:r>
      <w:r w:rsidRPr="00EF5119">
        <w:rPr>
          <w:sz w:val="32"/>
          <w:szCs w:val="32"/>
        </w:rPr>
        <w:t>работ</w:t>
      </w:r>
      <w:r>
        <w:rPr>
          <w:sz w:val="32"/>
          <w:szCs w:val="32"/>
        </w:rPr>
        <w:t>ы с тендерами</w:t>
      </w:r>
    </w:p>
    <w:p w:rsidR="000C62F5" w:rsidRDefault="000C62F5" w:rsidP="000C62F5">
      <w:pPr>
        <w:ind w:left="360" w:right="391"/>
        <w:jc w:val="both"/>
      </w:pPr>
    </w:p>
    <w:p w:rsidR="000C62F5" w:rsidRDefault="000C62F5" w:rsidP="000C62F5">
      <w:pPr>
        <w:ind w:left="360" w:right="391"/>
        <w:jc w:val="both"/>
      </w:pPr>
      <w:r>
        <w:t>- Руководитель Тендерного Отдела. (ТО.</w:t>
      </w:r>
      <w:r w:rsidRPr="0039604E">
        <w:t xml:space="preserve"> </w:t>
      </w:r>
      <w:r>
        <w:t>Руководитель отдела)</w:t>
      </w:r>
    </w:p>
    <w:p w:rsidR="000C62F5" w:rsidRDefault="000C62F5" w:rsidP="000C62F5">
      <w:pPr>
        <w:ind w:left="360" w:right="391"/>
        <w:jc w:val="both"/>
      </w:pPr>
      <w:r>
        <w:t xml:space="preserve">- Ассистент менеджера ТО. </w:t>
      </w:r>
    </w:p>
    <w:p w:rsidR="000C62F5" w:rsidRDefault="000C62F5" w:rsidP="000C62F5">
      <w:pPr>
        <w:ind w:left="360" w:right="391"/>
        <w:jc w:val="both"/>
      </w:pPr>
      <w:r>
        <w:t>- Менеджер Тендерного Отдела. (ТО.</w:t>
      </w:r>
      <w:r w:rsidRPr="0039604E">
        <w:t xml:space="preserve"> </w:t>
      </w:r>
      <w:r>
        <w:t>Менеджер)</w:t>
      </w:r>
    </w:p>
    <w:p w:rsidR="000C62F5" w:rsidRDefault="000C62F5" w:rsidP="000C62F5">
      <w:pPr>
        <w:ind w:left="360" w:right="391"/>
        <w:jc w:val="both"/>
      </w:pPr>
      <w:r>
        <w:t>- Директор холдинга. (АДМ. Директор</w:t>
      </w:r>
      <w:r w:rsidRPr="00BF7515">
        <w:t xml:space="preserve"> </w:t>
      </w:r>
      <w:r>
        <w:t>холдинга)</w:t>
      </w:r>
    </w:p>
    <w:p w:rsidR="000C62F5" w:rsidRDefault="000C62F5">
      <w:r>
        <w:br w:type="page"/>
      </w:r>
    </w:p>
    <w:p w:rsidR="000C62F5" w:rsidRDefault="000C62F5" w:rsidP="000C62F5">
      <w:pPr>
        <w:numPr>
          <w:ilvl w:val="0"/>
          <w:numId w:val="3"/>
        </w:numPr>
        <w:rPr>
          <w:sz w:val="32"/>
          <w:szCs w:val="32"/>
        </w:rPr>
      </w:pPr>
      <w:r w:rsidRPr="00EF5119">
        <w:rPr>
          <w:sz w:val="32"/>
          <w:szCs w:val="32"/>
        </w:rPr>
        <w:lastRenderedPageBreak/>
        <w:t>Назначение информационных объектов и статусов</w:t>
      </w:r>
    </w:p>
    <w:p w:rsidR="000C62F5" w:rsidRDefault="000C62F5" w:rsidP="000C62F5">
      <w:pPr>
        <w:ind w:left="360" w:right="391"/>
        <w:jc w:val="both"/>
        <w:rPr>
          <w:sz w:val="32"/>
          <w:szCs w:val="32"/>
        </w:rPr>
      </w:pPr>
    </w:p>
    <w:p w:rsidR="000C62F5" w:rsidRPr="006F73C5" w:rsidRDefault="000C62F5" w:rsidP="000C62F5">
      <w:pPr>
        <w:ind w:left="360" w:right="391"/>
        <w:jc w:val="both"/>
        <w:rPr>
          <w:sz w:val="32"/>
          <w:szCs w:val="32"/>
        </w:rPr>
      </w:pPr>
      <w:r>
        <w:rPr>
          <w:noProof/>
          <w:sz w:val="32"/>
          <w:szCs w:val="32"/>
        </w:rPr>
        <w:drawing>
          <wp:inline distT="0" distB="0" distL="0" distR="0">
            <wp:extent cx="5644515" cy="432371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644515" cy="4323715"/>
                    </a:xfrm>
                    <a:prstGeom prst="rect">
                      <a:avLst/>
                    </a:prstGeom>
                    <a:noFill/>
                    <a:ln w="9525">
                      <a:noFill/>
                      <a:miter lim="800000"/>
                      <a:headEnd/>
                      <a:tailEnd/>
                    </a:ln>
                  </pic:spPr>
                </pic:pic>
              </a:graphicData>
            </a:graphic>
          </wp:inline>
        </w:drawing>
      </w:r>
    </w:p>
    <w:p w:rsidR="000C62F5" w:rsidRPr="000056F9" w:rsidRDefault="000C62F5" w:rsidP="000C62F5">
      <w:pPr>
        <w:ind w:left="360" w:right="391"/>
        <w:jc w:val="center"/>
      </w:pPr>
      <w:r w:rsidRPr="000056F9">
        <w:t>Рис. 1. Диаграмма переходов статусов</w:t>
      </w:r>
    </w:p>
    <w:p w:rsidR="000C62F5" w:rsidRDefault="000C62F5" w:rsidP="000C62F5">
      <w:pPr>
        <w:ind w:left="360" w:right="391"/>
        <w:jc w:val="center"/>
        <w:rPr>
          <w:sz w:val="32"/>
          <w:szCs w:val="32"/>
        </w:rPr>
      </w:pPr>
    </w:p>
    <w:p w:rsidR="000C62F5" w:rsidRDefault="000C62F5" w:rsidP="000C62F5">
      <w:pPr>
        <w:ind w:left="360" w:right="391" w:firstLine="348"/>
        <w:jc w:val="both"/>
      </w:pPr>
      <w:r>
        <w:t>ТРТ – объект, с помощью которого в системе происходит фиксация информации по конкурсу, в основном включает договорную часть. В табл. 1 рассматривается назначение статусов этого объекта.</w:t>
      </w:r>
    </w:p>
    <w:p w:rsidR="000C62F5" w:rsidRDefault="000C62F5" w:rsidP="000C62F5">
      <w:pPr>
        <w:ind w:left="360" w:right="391" w:firstLine="348"/>
        <w:jc w:val="both"/>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7"/>
        <w:gridCol w:w="4375"/>
      </w:tblGrid>
      <w:tr w:rsidR="000C62F5" w:rsidTr="00B61B72">
        <w:tc>
          <w:tcPr>
            <w:tcW w:w="4377" w:type="dxa"/>
          </w:tcPr>
          <w:p w:rsidR="000C62F5" w:rsidRPr="00BB3455" w:rsidRDefault="000C62F5" w:rsidP="00B61B72">
            <w:pPr>
              <w:ind w:right="391"/>
              <w:jc w:val="both"/>
              <w:rPr>
                <w:b/>
                <w:sz w:val="32"/>
                <w:szCs w:val="32"/>
              </w:rPr>
            </w:pPr>
            <w:r w:rsidRPr="00BB3455">
              <w:rPr>
                <w:b/>
                <w:sz w:val="32"/>
                <w:szCs w:val="32"/>
              </w:rPr>
              <w:t>С</w:t>
            </w:r>
            <w:r>
              <w:rPr>
                <w:b/>
                <w:sz w:val="32"/>
                <w:szCs w:val="32"/>
              </w:rPr>
              <w:t>татус</w:t>
            </w:r>
          </w:p>
        </w:tc>
        <w:tc>
          <w:tcPr>
            <w:tcW w:w="4375" w:type="dxa"/>
          </w:tcPr>
          <w:p w:rsidR="000C62F5" w:rsidRPr="00BB3455" w:rsidRDefault="000C62F5" w:rsidP="00B61B72">
            <w:pPr>
              <w:ind w:right="391"/>
              <w:jc w:val="both"/>
              <w:rPr>
                <w:b/>
                <w:sz w:val="32"/>
                <w:szCs w:val="32"/>
              </w:rPr>
            </w:pPr>
            <w:r w:rsidRPr="00BB3455">
              <w:rPr>
                <w:b/>
                <w:sz w:val="32"/>
                <w:szCs w:val="32"/>
              </w:rPr>
              <w:t>Назначение</w:t>
            </w:r>
          </w:p>
        </w:tc>
      </w:tr>
      <w:tr w:rsidR="000C62F5" w:rsidTr="00B61B72">
        <w:tblPrEx>
          <w:tblLook w:val="0000"/>
        </w:tblPrEx>
        <w:trPr>
          <w:trHeight w:val="315"/>
        </w:trPr>
        <w:tc>
          <w:tcPr>
            <w:tcW w:w="4377" w:type="dxa"/>
          </w:tcPr>
          <w:p w:rsidR="000C62F5" w:rsidRDefault="000C62F5" w:rsidP="00B61B72">
            <w:pPr>
              <w:ind w:right="391"/>
              <w:jc w:val="both"/>
            </w:pPr>
            <w:r>
              <w:t>Выигран</w:t>
            </w:r>
          </w:p>
        </w:tc>
        <w:tc>
          <w:tcPr>
            <w:tcW w:w="4375" w:type="dxa"/>
          </w:tcPr>
          <w:p w:rsidR="000C62F5" w:rsidRDefault="000C62F5" w:rsidP="00B61B72">
            <w:pPr>
              <w:ind w:right="391"/>
            </w:pPr>
            <w:r>
              <w:t xml:space="preserve">Хотя бы 1 лот выигран </w:t>
            </w:r>
          </w:p>
        </w:tc>
      </w:tr>
      <w:tr w:rsidR="000C62F5" w:rsidTr="00B61B72">
        <w:tblPrEx>
          <w:tblLook w:val="0000"/>
        </w:tblPrEx>
        <w:trPr>
          <w:trHeight w:val="165"/>
        </w:trPr>
        <w:tc>
          <w:tcPr>
            <w:tcW w:w="4377" w:type="dxa"/>
          </w:tcPr>
          <w:p w:rsidR="000C62F5" w:rsidRDefault="000C62F5" w:rsidP="00B61B72">
            <w:pPr>
              <w:ind w:right="391"/>
              <w:jc w:val="both"/>
            </w:pPr>
            <w:r>
              <w:t>Контракт обеспечен</w:t>
            </w:r>
          </w:p>
        </w:tc>
        <w:tc>
          <w:tcPr>
            <w:tcW w:w="4375" w:type="dxa"/>
          </w:tcPr>
          <w:p w:rsidR="000C62F5" w:rsidRDefault="000C62F5" w:rsidP="00B61B72">
            <w:pPr>
              <w:ind w:right="391"/>
            </w:pPr>
            <w:r>
              <w:t>Оплачен счет на обеспечение контракта</w:t>
            </w:r>
          </w:p>
        </w:tc>
      </w:tr>
      <w:tr w:rsidR="000C62F5" w:rsidTr="00B61B72">
        <w:tblPrEx>
          <w:tblLook w:val="0000"/>
        </w:tblPrEx>
        <w:trPr>
          <w:trHeight w:val="165"/>
        </w:trPr>
        <w:tc>
          <w:tcPr>
            <w:tcW w:w="4377" w:type="dxa"/>
          </w:tcPr>
          <w:p w:rsidR="000C62F5" w:rsidRDefault="000C62F5" w:rsidP="00B61B72">
            <w:pPr>
              <w:ind w:right="391"/>
              <w:jc w:val="both"/>
            </w:pPr>
            <w:r>
              <w:t>Исполнен</w:t>
            </w:r>
          </w:p>
        </w:tc>
        <w:tc>
          <w:tcPr>
            <w:tcW w:w="4375" w:type="dxa"/>
          </w:tcPr>
          <w:p w:rsidR="000C62F5" w:rsidRDefault="000C62F5" w:rsidP="00B61B72">
            <w:pPr>
              <w:ind w:right="391"/>
            </w:pPr>
            <w:r>
              <w:t>Компания  выполнила все условия договора, все счета оплачены заказчиком</w:t>
            </w:r>
          </w:p>
        </w:tc>
      </w:tr>
    </w:tbl>
    <w:p w:rsidR="000C62F5" w:rsidRDefault="000C62F5" w:rsidP="000C62F5"/>
    <w:p w:rsidR="000C62F5" w:rsidRDefault="000C62F5">
      <w:r>
        <w:br w:type="page"/>
      </w:r>
    </w:p>
    <w:p w:rsidR="000C62F5" w:rsidRDefault="000C62F5" w:rsidP="000C62F5">
      <w:pPr>
        <w:pStyle w:val="a5"/>
        <w:numPr>
          <w:ilvl w:val="0"/>
          <w:numId w:val="3"/>
        </w:numPr>
        <w:rPr>
          <w:sz w:val="32"/>
          <w:szCs w:val="32"/>
        </w:rPr>
      </w:pPr>
      <w:r w:rsidRPr="000C62F5">
        <w:rPr>
          <w:sz w:val="32"/>
          <w:szCs w:val="32"/>
        </w:rPr>
        <w:lastRenderedPageBreak/>
        <w:t>Назначение информационных объектов и статусов</w:t>
      </w:r>
    </w:p>
    <w:p w:rsidR="000C62F5" w:rsidRDefault="000C62F5" w:rsidP="000C62F5">
      <w:pPr>
        <w:pStyle w:val="a5"/>
        <w:ind w:left="1080"/>
        <w:rPr>
          <w:sz w:val="32"/>
          <w:szCs w:val="32"/>
        </w:rPr>
      </w:pPr>
    </w:p>
    <w:p w:rsidR="000C62F5" w:rsidRDefault="000C62F5" w:rsidP="000C62F5">
      <w:pPr>
        <w:pStyle w:val="a5"/>
        <w:ind w:left="1080"/>
      </w:pPr>
      <w:r w:rsidRPr="000C62F5">
        <w:t>Перечень алгоритмов ТРТ:</w:t>
      </w:r>
    </w:p>
    <w:p w:rsidR="000C62F5" w:rsidRDefault="000C62F5" w:rsidP="000C62F5">
      <w:pPr>
        <w:pStyle w:val="a5"/>
        <w:ind w:left="1080"/>
      </w:pPr>
    </w:p>
    <w:tbl>
      <w:tblPr>
        <w:tblW w:w="0" w:type="auto"/>
        <w:tblInd w:w="1389"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tblPr>
      <w:tblGrid>
        <w:gridCol w:w="226"/>
        <w:gridCol w:w="7754"/>
      </w:tblGrid>
      <w:tr w:rsidR="000C62F5" w:rsidRPr="000C62F5" w:rsidTr="000C62F5">
        <w:trPr>
          <w:trHeight w:val="373"/>
        </w:trPr>
        <w:tc>
          <w:tcPr>
            <w:tcW w:w="0" w:type="auto"/>
            <w:tcBorders>
              <w:top w:val="single" w:sz="6" w:space="0" w:color="CCCCCC"/>
              <w:left w:val="single" w:sz="6" w:space="0" w:color="CCCCCC"/>
              <w:bottom w:val="single" w:sz="6" w:space="0" w:color="CCCCCC"/>
              <w:right w:val="single" w:sz="6" w:space="0" w:color="CCCCCC"/>
            </w:tcBorders>
            <w:tcMar>
              <w:top w:w="36" w:type="dxa"/>
              <w:left w:w="53" w:type="dxa"/>
              <w:bottom w:w="36" w:type="dxa"/>
              <w:right w:w="53" w:type="dxa"/>
            </w:tcMar>
            <w:vAlign w:val="bottom"/>
            <w:hideMark/>
          </w:tcPr>
          <w:p w:rsidR="000C62F5" w:rsidRPr="000C62F5" w:rsidRDefault="000C62F5" w:rsidP="000C62F5">
            <w:pPr>
              <w:jc w:val="right"/>
            </w:pPr>
            <w:r w:rsidRPr="000C62F5">
              <w:t>1</w:t>
            </w:r>
          </w:p>
        </w:tc>
        <w:tc>
          <w:tcPr>
            <w:tcW w:w="0" w:type="auto"/>
            <w:tcBorders>
              <w:top w:val="single" w:sz="6" w:space="0" w:color="CCCCCC"/>
              <w:left w:val="single" w:sz="6" w:space="0" w:color="CCCCCC"/>
              <w:bottom w:val="single" w:sz="6" w:space="0" w:color="CCCCCC"/>
              <w:right w:val="single" w:sz="6" w:space="0" w:color="CCCCCC"/>
            </w:tcBorders>
            <w:tcMar>
              <w:top w:w="36" w:type="dxa"/>
              <w:left w:w="53" w:type="dxa"/>
              <w:bottom w:w="36" w:type="dxa"/>
              <w:right w:w="53" w:type="dxa"/>
            </w:tcMar>
            <w:vAlign w:val="bottom"/>
            <w:hideMark/>
          </w:tcPr>
          <w:p w:rsidR="000C62F5" w:rsidRPr="000C62F5" w:rsidRDefault="000C62F5" w:rsidP="000C62F5">
            <w:r w:rsidRPr="000C62F5">
              <w:t>Создание договора с клиентом</w:t>
            </w:r>
          </w:p>
        </w:tc>
      </w:tr>
      <w:tr w:rsidR="000C62F5" w:rsidRPr="000C62F5" w:rsidTr="000C62F5">
        <w:trPr>
          <w:trHeight w:val="373"/>
        </w:trPr>
        <w:tc>
          <w:tcPr>
            <w:tcW w:w="0" w:type="auto"/>
            <w:tcBorders>
              <w:top w:val="single" w:sz="6" w:space="0" w:color="CCCCCC"/>
              <w:left w:val="single" w:sz="6" w:space="0" w:color="CCCCCC"/>
              <w:bottom w:val="single" w:sz="6" w:space="0" w:color="CCCCCC"/>
              <w:right w:val="single" w:sz="6" w:space="0" w:color="CCCCCC"/>
            </w:tcBorders>
            <w:tcMar>
              <w:top w:w="36" w:type="dxa"/>
              <w:left w:w="53" w:type="dxa"/>
              <w:bottom w:w="36" w:type="dxa"/>
              <w:right w:w="53" w:type="dxa"/>
            </w:tcMar>
            <w:vAlign w:val="bottom"/>
            <w:hideMark/>
          </w:tcPr>
          <w:p w:rsidR="000C62F5" w:rsidRPr="000C62F5" w:rsidRDefault="000C62F5" w:rsidP="000C62F5">
            <w:pPr>
              <w:jc w:val="right"/>
            </w:pPr>
            <w:r w:rsidRPr="000C62F5">
              <w:t>2</w:t>
            </w:r>
          </w:p>
        </w:tc>
        <w:tc>
          <w:tcPr>
            <w:tcW w:w="0" w:type="auto"/>
            <w:tcBorders>
              <w:top w:val="single" w:sz="6" w:space="0" w:color="CCCCCC"/>
              <w:left w:val="single" w:sz="6" w:space="0" w:color="CCCCCC"/>
              <w:bottom w:val="single" w:sz="6" w:space="0" w:color="CCCCCC"/>
              <w:right w:val="single" w:sz="6" w:space="0" w:color="CCCCCC"/>
            </w:tcBorders>
            <w:tcMar>
              <w:top w:w="36" w:type="dxa"/>
              <w:left w:w="53" w:type="dxa"/>
              <w:bottom w:w="36" w:type="dxa"/>
              <w:right w:w="53" w:type="dxa"/>
            </w:tcMar>
            <w:vAlign w:val="bottom"/>
            <w:hideMark/>
          </w:tcPr>
          <w:p w:rsidR="000C62F5" w:rsidRPr="000C62F5" w:rsidRDefault="000C62F5" w:rsidP="000C62F5">
            <w:r w:rsidRPr="000C62F5">
              <w:t>Внесение ЗК, счетов, платежек в ТРТ</w:t>
            </w:r>
          </w:p>
        </w:tc>
      </w:tr>
      <w:tr w:rsidR="000C62F5" w:rsidRPr="000C62F5" w:rsidTr="000C62F5">
        <w:trPr>
          <w:trHeight w:val="373"/>
        </w:trPr>
        <w:tc>
          <w:tcPr>
            <w:tcW w:w="0" w:type="auto"/>
            <w:tcBorders>
              <w:top w:val="single" w:sz="6" w:space="0" w:color="CCCCCC"/>
              <w:left w:val="single" w:sz="6" w:space="0" w:color="CCCCCC"/>
              <w:bottom w:val="single" w:sz="6" w:space="0" w:color="CCCCCC"/>
              <w:right w:val="single" w:sz="6" w:space="0" w:color="CCCCCC"/>
            </w:tcBorders>
            <w:tcMar>
              <w:top w:w="36" w:type="dxa"/>
              <w:left w:w="53" w:type="dxa"/>
              <w:bottom w:w="36" w:type="dxa"/>
              <w:right w:w="53" w:type="dxa"/>
            </w:tcMar>
            <w:vAlign w:val="bottom"/>
            <w:hideMark/>
          </w:tcPr>
          <w:p w:rsidR="000C62F5" w:rsidRPr="000C62F5" w:rsidRDefault="000C62F5" w:rsidP="000C62F5">
            <w:pPr>
              <w:jc w:val="right"/>
            </w:pPr>
            <w:r w:rsidRPr="000C62F5">
              <w:t>3</w:t>
            </w:r>
          </w:p>
        </w:tc>
        <w:tc>
          <w:tcPr>
            <w:tcW w:w="0" w:type="auto"/>
            <w:tcBorders>
              <w:top w:val="single" w:sz="6" w:space="0" w:color="CCCCCC"/>
              <w:left w:val="single" w:sz="6" w:space="0" w:color="CCCCCC"/>
              <w:bottom w:val="single" w:sz="6" w:space="0" w:color="CCCCCC"/>
              <w:right w:val="single" w:sz="6" w:space="0" w:color="CCCCCC"/>
            </w:tcBorders>
            <w:tcMar>
              <w:top w:w="36" w:type="dxa"/>
              <w:left w:w="53" w:type="dxa"/>
              <w:bottom w:w="36" w:type="dxa"/>
              <w:right w:w="53" w:type="dxa"/>
            </w:tcMar>
            <w:vAlign w:val="bottom"/>
            <w:hideMark/>
          </w:tcPr>
          <w:p w:rsidR="000C62F5" w:rsidRPr="000C62F5" w:rsidRDefault="000C62F5" w:rsidP="000C62F5">
            <w:r w:rsidRPr="000C62F5">
              <w:t>Расчет сумм для оценки рентабельности участия в ТРТ</w:t>
            </w:r>
          </w:p>
        </w:tc>
      </w:tr>
      <w:tr w:rsidR="000C62F5" w:rsidRPr="000C62F5" w:rsidTr="000C62F5">
        <w:trPr>
          <w:trHeight w:val="373"/>
        </w:trPr>
        <w:tc>
          <w:tcPr>
            <w:tcW w:w="0" w:type="auto"/>
            <w:tcBorders>
              <w:top w:val="single" w:sz="6" w:space="0" w:color="CCCCCC"/>
              <w:left w:val="single" w:sz="6" w:space="0" w:color="CCCCCC"/>
              <w:bottom w:val="single" w:sz="6" w:space="0" w:color="CCCCCC"/>
              <w:right w:val="single" w:sz="6" w:space="0" w:color="CCCCCC"/>
            </w:tcBorders>
            <w:tcMar>
              <w:top w:w="36" w:type="dxa"/>
              <w:left w:w="53" w:type="dxa"/>
              <w:bottom w:w="36" w:type="dxa"/>
              <w:right w:w="53" w:type="dxa"/>
            </w:tcMar>
            <w:vAlign w:val="bottom"/>
            <w:hideMark/>
          </w:tcPr>
          <w:p w:rsidR="000C62F5" w:rsidRPr="000C62F5" w:rsidRDefault="000C62F5" w:rsidP="000C62F5">
            <w:pPr>
              <w:jc w:val="right"/>
            </w:pPr>
            <w:r w:rsidRPr="000C62F5">
              <w:t>4</w:t>
            </w:r>
          </w:p>
        </w:tc>
        <w:tc>
          <w:tcPr>
            <w:tcW w:w="0" w:type="auto"/>
            <w:tcBorders>
              <w:top w:val="single" w:sz="6" w:space="0" w:color="CCCCCC"/>
              <w:left w:val="single" w:sz="6" w:space="0" w:color="CCCCCC"/>
              <w:bottom w:val="single" w:sz="6" w:space="0" w:color="CCCCCC"/>
              <w:right w:val="single" w:sz="6" w:space="0" w:color="CCCCCC"/>
            </w:tcBorders>
            <w:tcMar>
              <w:top w:w="36" w:type="dxa"/>
              <w:left w:w="53" w:type="dxa"/>
              <w:bottom w:w="36" w:type="dxa"/>
              <w:right w:w="53" w:type="dxa"/>
            </w:tcMar>
            <w:vAlign w:val="bottom"/>
            <w:hideMark/>
          </w:tcPr>
          <w:p w:rsidR="000C62F5" w:rsidRPr="000C62F5" w:rsidRDefault="000C62F5" w:rsidP="000C62F5">
            <w:proofErr w:type="spellStart"/>
            <w:r w:rsidRPr="000C62F5">
              <w:t>Job</w:t>
            </w:r>
            <w:proofErr w:type="spellEnd"/>
            <w:r w:rsidRPr="000C62F5">
              <w:t>. Уведомление Рук ТО о том, что сумма счетов достигла 90%</w:t>
            </w:r>
          </w:p>
        </w:tc>
      </w:tr>
      <w:tr w:rsidR="000C62F5" w:rsidRPr="000C62F5" w:rsidTr="000C62F5">
        <w:trPr>
          <w:trHeight w:val="373"/>
        </w:trPr>
        <w:tc>
          <w:tcPr>
            <w:tcW w:w="0" w:type="auto"/>
            <w:tcBorders>
              <w:top w:val="single" w:sz="6" w:space="0" w:color="CCCCCC"/>
              <w:left w:val="single" w:sz="6" w:space="0" w:color="CCCCCC"/>
              <w:bottom w:val="single" w:sz="6" w:space="0" w:color="CCCCCC"/>
              <w:right w:val="single" w:sz="6" w:space="0" w:color="CCCCCC"/>
            </w:tcBorders>
            <w:tcMar>
              <w:top w:w="36" w:type="dxa"/>
              <w:left w:w="53" w:type="dxa"/>
              <w:bottom w:w="36" w:type="dxa"/>
              <w:right w:w="53" w:type="dxa"/>
            </w:tcMar>
            <w:vAlign w:val="bottom"/>
            <w:hideMark/>
          </w:tcPr>
          <w:p w:rsidR="000C62F5" w:rsidRPr="000C62F5" w:rsidRDefault="000C62F5" w:rsidP="000C62F5">
            <w:pPr>
              <w:jc w:val="right"/>
            </w:pPr>
            <w:r w:rsidRPr="000C62F5">
              <w:t>5</w:t>
            </w:r>
          </w:p>
        </w:tc>
        <w:tc>
          <w:tcPr>
            <w:tcW w:w="0" w:type="auto"/>
            <w:tcBorders>
              <w:top w:val="single" w:sz="6" w:space="0" w:color="CCCCCC"/>
              <w:left w:val="single" w:sz="6" w:space="0" w:color="CCCCCC"/>
              <w:bottom w:val="single" w:sz="6" w:space="0" w:color="CCCCCC"/>
              <w:right w:val="single" w:sz="6" w:space="0" w:color="CCCCCC"/>
            </w:tcBorders>
            <w:tcMar>
              <w:top w:w="36" w:type="dxa"/>
              <w:left w:w="53" w:type="dxa"/>
              <w:bottom w:w="36" w:type="dxa"/>
              <w:right w:w="53" w:type="dxa"/>
            </w:tcMar>
            <w:vAlign w:val="bottom"/>
            <w:hideMark/>
          </w:tcPr>
          <w:p w:rsidR="000C62F5" w:rsidRPr="000C62F5" w:rsidRDefault="000C62F5" w:rsidP="000C62F5">
            <w:proofErr w:type="spellStart"/>
            <w:r w:rsidRPr="000C62F5">
              <w:t>Job</w:t>
            </w:r>
            <w:proofErr w:type="spellEnd"/>
            <w:r w:rsidRPr="000C62F5">
              <w:t>. Уведомление Рук ТО о том, что до конца тендера остался месяц</w:t>
            </w:r>
          </w:p>
        </w:tc>
      </w:tr>
    </w:tbl>
    <w:p w:rsidR="000C62F5" w:rsidRPr="000C62F5" w:rsidRDefault="000C62F5" w:rsidP="000C62F5">
      <w:pPr>
        <w:pStyle w:val="a5"/>
        <w:ind w:left="1080"/>
      </w:pPr>
    </w:p>
    <w:p w:rsidR="007E69C9" w:rsidRDefault="000C62F5" w:rsidP="000C62F5">
      <w:pPr>
        <w:ind w:firstLine="708"/>
      </w:pPr>
      <w:r>
        <w:t xml:space="preserve">Подробнее см. постановку. </w:t>
      </w:r>
    </w:p>
    <w:sectPr w:rsidR="007E69C9" w:rsidSect="009C27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25F77"/>
    <w:multiLevelType w:val="hybridMultilevel"/>
    <w:tmpl w:val="2E9EF206"/>
    <w:lvl w:ilvl="0" w:tplc="5D864F08">
      <w:start w:val="4"/>
      <w:numFmt w:val="decimal"/>
      <w:lvlText w:val="%1."/>
      <w:lvlJc w:val="left"/>
      <w:pPr>
        <w:ind w:left="1080" w:hanging="360"/>
      </w:pPr>
      <w:rPr>
        <w:rFonts w:hint="default"/>
        <w:sz w:val="32"/>
        <w:szCs w:val="3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F5857AD"/>
    <w:multiLevelType w:val="hybridMultilevel"/>
    <w:tmpl w:val="D0E0A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D91297"/>
    <w:multiLevelType w:val="hybridMultilevel"/>
    <w:tmpl w:val="2E9EF206"/>
    <w:lvl w:ilvl="0" w:tplc="5D864F08">
      <w:start w:val="4"/>
      <w:numFmt w:val="decimal"/>
      <w:lvlText w:val="%1."/>
      <w:lvlJc w:val="left"/>
      <w:pPr>
        <w:ind w:left="1080" w:hanging="360"/>
      </w:pPr>
      <w:rPr>
        <w:rFonts w:hint="default"/>
        <w:sz w:val="32"/>
        <w:szCs w:val="3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23329ED"/>
    <w:multiLevelType w:val="hybridMultilevel"/>
    <w:tmpl w:val="139A44A6"/>
    <w:lvl w:ilvl="0" w:tplc="4A02AC66">
      <w:start w:val="2"/>
      <w:numFmt w:val="decimal"/>
      <w:lvlText w:val="%1."/>
      <w:lvlJc w:val="left"/>
      <w:pPr>
        <w:tabs>
          <w:tab w:val="num" w:pos="720"/>
        </w:tabs>
        <w:ind w:left="720" w:hanging="360"/>
      </w:pPr>
      <w:rPr>
        <w:rFonts w:hint="default"/>
        <w:sz w:val="32"/>
        <w:szCs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embedSystemFonts/>
  <w:proofState w:spelling="clean" w:grammar="clean"/>
  <w:stylePaneFormatFilter w:val="3F01"/>
  <w:defaultTabStop w:val="708"/>
  <w:characterSpacingControl w:val="doNotCompress"/>
  <w:compat/>
  <w:rsids>
    <w:rsidRoot w:val="000C62F5"/>
    <w:rsid w:val="00056492"/>
    <w:rsid w:val="000719E6"/>
    <w:rsid w:val="000756D6"/>
    <w:rsid w:val="000C62F5"/>
    <w:rsid w:val="000E69E2"/>
    <w:rsid w:val="00102F7D"/>
    <w:rsid w:val="0011458B"/>
    <w:rsid w:val="00121895"/>
    <w:rsid w:val="001B6B61"/>
    <w:rsid w:val="00202E8D"/>
    <w:rsid w:val="00321A06"/>
    <w:rsid w:val="003D13B3"/>
    <w:rsid w:val="003D2691"/>
    <w:rsid w:val="003D5D56"/>
    <w:rsid w:val="003E3973"/>
    <w:rsid w:val="003F0C21"/>
    <w:rsid w:val="0040580D"/>
    <w:rsid w:val="00464491"/>
    <w:rsid w:val="00471134"/>
    <w:rsid w:val="004D1C0F"/>
    <w:rsid w:val="00513D05"/>
    <w:rsid w:val="00546A74"/>
    <w:rsid w:val="00605418"/>
    <w:rsid w:val="006D55E3"/>
    <w:rsid w:val="00722C90"/>
    <w:rsid w:val="00723C39"/>
    <w:rsid w:val="007324AD"/>
    <w:rsid w:val="007522E8"/>
    <w:rsid w:val="007E69C9"/>
    <w:rsid w:val="007F3D87"/>
    <w:rsid w:val="008B3CAB"/>
    <w:rsid w:val="0094626F"/>
    <w:rsid w:val="00991397"/>
    <w:rsid w:val="00991ACF"/>
    <w:rsid w:val="009A17EE"/>
    <w:rsid w:val="009A665C"/>
    <w:rsid w:val="009B46CA"/>
    <w:rsid w:val="009C27CB"/>
    <w:rsid w:val="00A6465F"/>
    <w:rsid w:val="00A82055"/>
    <w:rsid w:val="00AA28C5"/>
    <w:rsid w:val="00AA6CF2"/>
    <w:rsid w:val="00AB127A"/>
    <w:rsid w:val="00AF4B38"/>
    <w:rsid w:val="00C234FE"/>
    <w:rsid w:val="00C74909"/>
    <w:rsid w:val="00C879A5"/>
    <w:rsid w:val="00C9687E"/>
    <w:rsid w:val="00D24683"/>
    <w:rsid w:val="00D37E9E"/>
    <w:rsid w:val="00D447C8"/>
    <w:rsid w:val="00D777C8"/>
    <w:rsid w:val="00E46758"/>
    <w:rsid w:val="00E7586C"/>
    <w:rsid w:val="00EA68AC"/>
    <w:rsid w:val="00EB204F"/>
    <w:rsid w:val="00EB746D"/>
    <w:rsid w:val="00EE3278"/>
    <w:rsid w:val="00EE7354"/>
    <w:rsid w:val="00F0786B"/>
    <w:rsid w:val="00F73D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62F5"/>
    <w:rPr>
      <w:rFonts w:ascii="Book Antiqua" w:hAnsi="Book Antiqu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0C62F5"/>
    <w:rPr>
      <w:rFonts w:ascii="Tahoma" w:hAnsi="Tahoma" w:cs="Tahoma"/>
      <w:sz w:val="16"/>
      <w:szCs w:val="16"/>
    </w:rPr>
  </w:style>
  <w:style w:type="character" w:customStyle="1" w:styleId="a4">
    <w:name w:val="Текст выноски Знак"/>
    <w:basedOn w:val="a0"/>
    <w:link w:val="a3"/>
    <w:rsid w:val="000C62F5"/>
    <w:rPr>
      <w:rFonts w:ascii="Tahoma" w:hAnsi="Tahoma" w:cs="Tahoma"/>
      <w:sz w:val="16"/>
      <w:szCs w:val="16"/>
    </w:rPr>
  </w:style>
  <w:style w:type="paragraph" w:styleId="a5">
    <w:name w:val="List Paragraph"/>
    <w:basedOn w:val="a"/>
    <w:uiPriority w:val="34"/>
    <w:qFormat/>
    <w:rsid w:val="000C62F5"/>
    <w:pPr>
      <w:ind w:left="720"/>
      <w:contextualSpacing/>
    </w:pPr>
  </w:style>
</w:styles>
</file>

<file path=word/webSettings.xml><?xml version="1.0" encoding="utf-8"?>
<w:webSettings xmlns:r="http://schemas.openxmlformats.org/officeDocument/2006/relationships" xmlns:w="http://schemas.openxmlformats.org/wordprocessingml/2006/main">
  <w:divs>
    <w:div w:id="147425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484</Words>
  <Characters>3057</Characters>
  <Application>Microsoft Office Word</Application>
  <DocSecurity>0</DocSecurity>
  <Lines>25</Lines>
  <Paragraphs>7</Paragraphs>
  <ScaleCrop>false</ScaleCrop>
  <Company>SPecialiST RePack</Company>
  <LinksUpToDate>false</LinksUpToDate>
  <CharactersWithSpaces>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Дэнис</dc:creator>
  <cp:lastModifiedBy>Дэнис</cp:lastModifiedBy>
  <cp:revision>1</cp:revision>
  <dcterms:created xsi:type="dcterms:W3CDTF">2015-04-23T08:35:00Z</dcterms:created>
  <dcterms:modified xsi:type="dcterms:W3CDTF">2015-04-23T08:45:00Z</dcterms:modified>
</cp:coreProperties>
</file>