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CF" w:rsidRDefault="006E660B">
      <w:r>
        <w:t>Для стандартного отчета характерны следующие графики.</w:t>
      </w:r>
    </w:p>
    <w:p w:rsidR="004A062B" w:rsidRDefault="006E660B" w:rsidP="006E660B">
      <w:pPr>
        <w:pStyle w:val="a3"/>
        <w:numPr>
          <w:ilvl w:val="0"/>
          <w:numId w:val="1"/>
        </w:numPr>
      </w:pPr>
      <w:r>
        <w:t>Рейтинг бло</w:t>
      </w:r>
      <w:r w:rsidR="00BE5EA0">
        <w:t>к</w:t>
      </w:r>
      <w:r>
        <w:t>ов анкеты (процент выполнения)</w:t>
      </w:r>
      <w:r w:rsidR="004A062B" w:rsidRPr="004A062B">
        <w:rPr>
          <w:noProof/>
        </w:rPr>
        <w:t xml:space="preserve"> </w:t>
      </w:r>
    </w:p>
    <w:p w:rsidR="004A062B" w:rsidRPr="004A062B" w:rsidRDefault="004A062B" w:rsidP="004A062B">
      <w:pPr>
        <w:pStyle w:val="a3"/>
        <w:numPr>
          <w:ilvl w:val="1"/>
          <w:numId w:val="1"/>
        </w:numPr>
        <w:rPr>
          <w:i/>
        </w:rPr>
      </w:pPr>
      <w:r w:rsidRPr="004A062B">
        <w:rPr>
          <w:i/>
        </w:rPr>
        <w:t>Рейтинг выполнения стандартов по блокам анкеты</w:t>
      </w:r>
    </w:p>
    <w:p w:rsidR="006E660B" w:rsidRDefault="004A062B" w:rsidP="004A062B">
      <w:pPr>
        <w:ind w:left="360"/>
      </w:pPr>
      <w:r>
        <w:rPr>
          <w:noProof/>
        </w:rPr>
        <w:drawing>
          <wp:inline distT="0" distB="0" distL="0" distR="0" wp14:anchorId="4E47BE47" wp14:editId="315B8A3A">
            <wp:extent cx="3940446" cy="1405054"/>
            <wp:effectExtent l="0" t="0" r="3175" b="508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1491" cy="140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60B" w:rsidRDefault="006E660B" w:rsidP="006E660B">
      <w:pPr>
        <w:pStyle w:val="a3"/>
        <w:numPr>
          <w:ilvl w:val="0"/>
          <w:numId w:val="1"/>
        </w:numPr>
      </w:pPr>
      <w:r>
        <w:t xml:space="preserve">Рейтинг </w:t>
      </w:r>
      <w:proofErr w:type="spellStart"/>
      <w:r>
        <w:t>подблоков</w:t>
      </w:r>
      <w:proofErr w:type="spellEnd"/>
      <w:r>
        <w:t xml:space="preserve"> анкеты </w:t>
      </w:r>
      <w:r w:rsidRPr="006E660B">
        <w:t>(процент выполнения)</w:t>
      </w:r>
      <w:r>
        <w:t xml:space="preserve">: либо общий, когда включаются все </w:t>
      </w:r>
      <w:proofErr w:type="spellStart"/>
      <w:r>
        <w:t>подблоки</w:t>
      </w:r>
      <w:proofErr w:type="spellEnd"/>
      <w:r>
        <w:t xml:space="preserve"> анкеты, либо отдельный на каждый блок анкеты (1 блок – 1 график с </w:t>
      </w:r>
      <w:proofErr w:type="spellStart"/>
      <w:r>
        <w:t>подблоками</w:t>
      </w:r>
      <w:proofErr w:type="spellEnd"/>
      <w:r>
        <w:t>).</w:t>
      </w:r>
    </w:p>
    <w:p w:rsidR="00597E30" w:rsidRDefault="00597E30" w:rsidP="00597E30">
      <w:pPr>
        <w:pStyle w:val="a3"/>
      </w:pPr>
    </w:p>
    <w:p w:rsidR="00597E30" w:rsidRPr="00597E30" w:rsidRDefault="00597E30" w:rsidP="00597E30">
      <w:pPr>
        <w:pStyle w:val="a3"/>
        <w:numPr>
          <w:ilvl w:val="1"/>
          <w:numId w:val="1"/>
        </w:numPr>
        <w:rPr>
          <w:i/>
        </w:rPr>
      </w:pPr>
      <w:r w:rsidRPr="00597E30">
        <w:rPr>
          <w:i/>
        </w:rPr>
        <w:t xml:space="preserve">Рейтинг выполнения стандартов по </w:t>
      </w:r>
      <w:proofErr w:type="spellStart"/>
      <w:r w:rsidRPr="00597E30">
        <w:rPr>
          <w:i/>
        </w:rPr>
        <w:t>подблокам</w:t>
      </w:r>
      <w:proofErr w:type="spellEnd"/>
      <w:r w:rsidRPr="00597E30">
        <w:rPr>
          <w:i/>
        </w:rPr>
        <w:t xml:space="preserve"> анкеты</w:t>
      </w:r>
    </w:p>
    <w:p w:rsidR="00597E30" w:rsidRDefault="00597E30" w:rsidP="00597E30">
      <w:pPr>
        <w:pStyle w:val="a3"/>
        <w:ind w:left="709"/>
      </w:pPr>
      <w:r>
        <w:rPr>
          <w:noProof/>
        </w:rPr>
        <w:drawing>
          <wp:inline distT="0" distB="0" distL="0" distR="0" wp14:anchorId="5290241E">
            <wp:extent cx="3456878" cy="18491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69" cy="1849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4CD3" w:rsidRDefault="00C84CD3" w:rsidP="00597E30">
      <w:pPr>
        <w:pStyle w:val="a3"/>
        <w:ind w:left="709"/>
      </w:pPr>
    </w:p>
    <w:p w:rsidR="0031131B" w:rsidRDefault="006E660B" w:rsidP="006E660B">
      <w:pPr>
        <w:pStyle w:val="a3"/>
        <w:numPr>
          <w:ilvl w:val="0"/>
          <w:numId w:val="1"/>
        </w:numPr>
      </w:pPr>
      <w:r>
        <w:t xml:space="preserve">Рейтинг вопросов </w:t>
      </w:r>
      <w:r w:rsidRPr="006E660B">
        <w:t>(процент выполнения)</w:t>
      </w:r>
      <w:r>
        <w:t xml:space="preserve">: либо по каждому </w:t>
      </w:r>
      <w:proofErr w:type="spellStart"/>
      <w:r>
        <w:t>подблоку</w:t>
      </w:r>
      <w:proofErr w:type="spellEnd"/>
      <w:r>
        <w:t>, либо блоку.</w:t>
      </w:r>
      <w:r w:rsidR="0031131B" w:rsidRPr="0031131B">
        <w:rPr>
          <w:noProof/>
        </w:rPr>
        <w:t xml:space="preserve"> </w:t>
      </w:r>
    </w:p>
    <w:p w:rsidR="0031131B" w:rsidRPr="005C4FD4" w:rsidRDefault="0031131B" w:rsidP="0031131B">
      <w:pPr>
        <w:pStyle w:val="a3"/>
        <w:numPr>
          <w:ilvl w:val="1"/>
          <w:numId w:val="1"/>
        </w:numPr>
        <w:rPr>
          <w:i/>
        </w:rPr>
      </w:pPr>
      <w:r w:rsidRPr="005C4FD4">
        <w:rPr>
          <w:i/>
        </w:rPr>
        <w:t>Выполнение стандартов по блоку "Завершение контакта"</w:t>
      </w:r>
    </w:p>
    <w:p w:rsidR="006E660B" w:rsidRDefault="0031131B" w:rsidP="0031131B">
      <w:pPr>
        <w:ind w:left="360"/>
      </w:pPr>
      <w:r>
        <w:rPr>
          <w:noProof/>
        </w:rPr>
        <w:drawing>
          <wp:inline distT="0" distB="0" distL="0" distR="0" wp14:anchorId="7B5001B3" wp14:editId="475E1A0D">
            <wp:extent cx="3502390" cy="2304586"/>
            <wp:effectExtent l="0" t="0" r="3175" b="635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1012" cy="230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60B" w:rsidRDefault="006E660B" w:rsidP="006E660B">
      <w:pPr>
        <w:pStyle w:val="a3"/>
        <w:numPr>
          <w:ilvl w:val="0"/>
          <w:numId w:val="1"/>
        </w:numPr>
      </w:pPr>
      <w:r>
        <w:t xml:space="preserve">Рейтинг наименее и наиболее выполняемых стандартов (это могут быть как вопросы, так и подгруппы, так и группы). </w:t>
      </w:r>
      <w:proofErr w:type="gramStart"/>
      <w:r>
        <w:t xml:space="preserve">Выбирается либо 10 лучших/худших, либо учитываются только стандарты, </w:t>
      </w:r>
      <w:r w:rsidR="00BE5EA0">
        <w:t>чей результат</w:t>
      </w:r>
      <w:r>
        <w:t xml:space="preserve"> ниже/выше определенного процента (процент варьируется в зависимости от пожеланий клиента).</w:t>
      </w:r>
      <w:proofErr w:type="gramEnd"/>
    </w:p>
    <w:p w:rsidR="00597E30" w:rsidRPr="00597E30" w:rsidRDefault="00597E30" w:rsidP="00597E30">
      <w:pPr>
        <w:pStyle w:val="a3"/>
        <w:numPr>
          <w:ilvl w:val="1"/>
          <w:numId w:val="1"/>
        </w:numPr>
        <w:rPr>
          <w:i/>
        </w:rPr>
      </w:pPr>
      <w:r w:rsidRPr="00597E30">
        <w:rPr>
          <w:i/>
        </w:rPr>
        <w:lastRenderedPageBreak/>
        <w:t>Наименее выполняемые стандарты</w:t>
      </w:r>
      <w:r w:rsidRPr="00597E30">
        <w:rPr>
          <w:i/>
        </w:rPr>
        <w:tab/>
        <w:t>(% выполнения менее 50%)</w:t>
      </w:r>
    </w:p>
    <w:p w:rsidR="00597E30" w:rsidRDefault="00597E30" w:rsidP="00597E30">
      <w:pPr>
        <w:pStyle w:val="a3"/>
      </w:pPr>
      <w:r>
        <w:rPr>
          <w:noProof/>
        </w:rPr>
        <w:drawing>
          <wp:inline distT="0" distB="0" distL="0" distR="0" wp14:anchorId="3E635FCE">
            <wp:extent cx="3174381" cy="2251277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739" cy="2253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7E30" w:rsidRDefault="00597E30" w:rsidP="00597E30">
      <w:pPr>
        <w:pStyle w:val="a3"/>
      </w:pPr>
    </w:p>
    <w:p w:rsidR="00BE5EA0" w:rsidRDefault="00BE5EA0" w:rsidP="006E660B">
      <w:pPr>
        <w:pStyle w:val="a3"/>
        <w:numPr>
          <w:ilvl w:val="0"/>
          <w:numId w:val="1"/>
        </w:numPr>
      </w:pPr>
      <w:r>
        <w:t>Рейтинг регионов; рейтинг городов; рейтинг локаций. Рейтинги городов и локаций могут строиться, как все сразу, так и отдельно по каждому региону/городу.</w:t>
      </w:r>
    </w:p>
    <w:p w:rsidR="00F96143" w:rsidRPr="00F96143" w:rsidRDefault="00F96143" w:rsidP="00F96143">
      <w:pPr>
        <w:pStyle w:val="a3"/>
        <w:numPr>
          <w:ilvl w:val="1"/>
          <w:numId w:val="1"/>
        </w:numPr>
        <w:rPr>
          <w:i/>
        </w:rPr>
      </w:pPr>
      <w:r w:rsidRPr="00F96143">
        <w:rPr>
          <w:i/>
        </w:rPr>
        <w:t>Выполнение стандартов обслуживания в разрезе городов</w:t>
      </w:r>
    </w:p>
    <w:p w:rsidR="0059524C" w:rsidRDefault="0059524C" w:rsidP="0059524C">
      <w:pPr>
        <w:pStyle w:val="a3"/>
      </w:pPr>
      <w:r>
        <w:rPr>
          <w:noProof/>
        </w:rPr>
        <w:drawing>
          <wp:inline distT="0" distB="0" distL="0" distR="0" wp14:anchorId="022B60C3" wp14:editId="552BBDDA">
            <wp:extent cx="4007004" cy="1424629"/>
            <wp:effectExtent l="0" t="0" r="0" b="4445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7211" cy="14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143" w:rsidRPr="00F96143" w:rsidRDefault="00F96143" w:rsidP="00F96143">
      <w:pPr>
        <w:pStyle w:val="a3"/>
        <w:numPr>
          <w:ilvl w:val="1"/>
          <w:numId w:val="1"/>
        </w:numPr>
        <w:rPr>
          <w:i/>
        </w:rPr>
      </w:pPr>
      <w:r w:rsidRPr="00F96143">
        <w:rPr>
          <w:i/>
        </w:rPr>
        <w:t>Выполнение стандартов обслуживания в разрезе городов</w:t>
      </w:r>
    </w:p>
    <w:p w:rsidR="0059524C" w:rsidRDefault="00F96143" w:rsidP="0059524C">
      <w:pPr>
        <w:pStyle w:val="a3"/>
      </w:pPr>
      <w:r>
        <w:rPr>
          <w:noProof/>
        </w:rPr>
        <w:drawing>
          <wp:inline distT="0" distB="0" distL="0" distR="0" wp14:anchorId="1E1579B3" wp14:editId="1987B365">
            <wp:extent cx="4007005" cy="1292851"/>
            <wp:effectExtent l="0" t="0" r="0" b="3175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6027" cy="129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D3" w:rsidRDefault="00C84CD3" w:rsidP="00C84CD3">
      <w:pPr>
        <w:pStyle w:val="a3"/>
        <w:numPr>
          <w:ilvl w:val="1"/>
          <w:numId w:val="1"/>
        </w:numPr>
        <w:rPr>
          <w:i/>
        </w:rPr>
      </w:pPr>
      <w:r w:rsidRPr="00C84CD3">
        <w:rPr>
          <w:i/>
        </w:rPr>
        <w:t>Выполнение стандартов в разрезе магазинов (Москва)</w:t>
      </w:r>
    </w:p>
    <w:p w:rsidR="00C84CD3" w:rsidRPr="00C84CD3" w:rsidRDefault="00C84CD3" w:rsidP="00C84CD3">
      <w:pPr>
        <w:pStyle w:val="a3"/>
        <w:ind w:left="709"/>
        <w:rPr>
          <w:i/>
        </w:rPr>
      </w:pPr>
      <w:r>
        <w:rPr>
          <w:noProof/>
        </w:rPr>
        <w:drawing>
          <wp:inline distT="0" distB="0" distL="0" distR="0" wp14:anchorId="0820AEF2" wp14:editId="68E43D1F">
            <wp:extent cx="3789704" cy="2395934"/>
            <wp:effectExtent l="0" t="0" r="1270" b="444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1141" cy="239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EA0" w:rsidRDefault="00BE5EA0" w:rsidP="00BE5EA0">
      <w:pPr>
        <w:pStyle w:val="a3"/>
        <w:numPr>
          <w:ilvl w:val="0"/>
          <w:numId w:val="1"/>
        </w:numPr>
      </w:pPr>
      <w:r>
        <w:t xml:space="preserve">Рейтинг сотрудников (указывается ФИО и локация). </w:t>
      </w:r>
      <w:r w:rsidRPr="00BE5EA0">
        <w:t>Рейтинги могут строит</w:t>
      </w:r>
      <w:r>
        <w:t>ь</w:t>
      </w:r>
      <w:r w:rsidRPr="00BE5EA0">
        <w:t>ся, как все сразу, так и отдельно по каждому региону/городу.</w:t>
      </w:r>
      <w:r>
        <w:t xml:space="preserve"> ВАЖНО: при построении данного </w:t>
      </w:r>
      <w:r>
        <w:lastRenderedPageBreak/>
        <w:t>рейтинга в расчет могут включаться не все блоки/</w:t>
      </w:r>
      <w:proofErr w:type="spellStart"/>
      <w:r>
        <w:t>подблоки</w:t>
      </w:r>
      <w:proofErr w:type="spellEnd"/>
      <w:r>
        <w:t xml:space="preserve"> анкеты (настраивается индивидуально под клиента).</w:t>
      </w:r>
    </w:p>
    <w:p w:rsidR="008A4102" w:rsidRPr="008A4102" w:rsidRDefault="008A4102" w:rsidP="008A4102">
      <w:pPr>
        <w:pStyle w:val="a3"/>
        <w:numPr>
          <w:ilvl w:val="0"/>
          <w:numId w:val="8"/>
        </w:numPr>
        <w:rPr>
          <w:i/>
        </w:rPr>
      </w:pPr>
      <w:r w:rsidRPr="008A4102">
        <w:rPr>
          <w:i/>
        </w:rPr>
        <w:t>Рейтинг продавцов</w:t>
      </w:r>
    </w:p>
    <w:p w:rsidR="008A4102" w:rsidRDefault="008A4102" w:rsidP="008A4102">
      <w:pPr>
        <w:pStyle w:val="a3"/>
      </w:pPr>
      <w:r>
        <w:rPr>
          <w:noProof/>
        </w:rPr>
        <w:drawing>
          <wp:inline distT="0" distB="0" distL="0" distR="0" wp14:anchorId="43DA3993" wp14:editId="0A913CDC">
            <wp:extent cx="3938577" cy="5765138"/>
            <wp:effectExtent l="0" t="0" r="5080" b="762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9511" cy="576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EA0" w:rsidRDefault="00BE5EA0" w:rsidP="00BE5EA0">
      <w:pPr>
        <w:pStyle w:val="a3"/>
        <w:numPr>
          <w:ilvl w:val="0"/>
          <w:numId w:val="1"/>
        </w:numPr>
      </w:pPr>
      <w:r>
        <w:t>Сводная таблица с указанием локаций и процентом выполнения по блокам/</w:t>
      </w:r>
      <w:proofErr w:type="spellStart"/>
      <w:r>
        <w:t>подблокам</w:t>
      </w:r>
      <w:proofErr w:type="spellEnd"/>
      <w:r>
        <w:t xml:space="preserve"> анкеты </w:t>
      </w:r>
      <w:r w:rsidRPr="00BE5EA0">
        <w:t>(настраивается индивидуально под клиента).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134"/>
        <w:gridCol w:w="1417"/>
        <w:gridCol w:w="1276"/>
        <w:gridCol w:w="1134"/>
        <w:gridCol w:w="1134"/>
        <w:gridCol w:w="1134"/>
        <w:gridCol w:w="709"/>
      </w:tblGrid>
      <w:tr w:rsidR="00A14C4D" w:rsidRPr="00A14C4D" w:rsidTr="00A14C4D">
        <w:trPr>
          <w:trHeight w:val="12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1. Внешний вид магазина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 xml:space="preserve">2. </w:t>
            </w:r>
            <w:proofErr w:type="spellStart"/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Мерчендайзинг</w:t>
            </w:r>
            <w:proofErr w:type="spellEnd"/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 xml:space="preserve"> и оформление витрин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 xml:space="preserve">3. Внешний вид и </w:t>
            </w:r>
            <w:proofErr w:type="spellStart"/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клиентоориентированность</w:t>
            </w:r>
            <w:proofErr w:type="spellEnd"/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 xml:space="preserve"> персонала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 xml:space="preserve">4. Работа в </w:t>
            </w:r>
            <w:proofErr w:type="gramStart"/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примерочной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5. Знание ассортимента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6. Завершение визита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Итог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proofErr w:type="spellStart"/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Глобал</w:t>
            </w:r>
            <w:proofErr w:type="spellEnd"/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Сити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A7A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50,00%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27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58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90,00%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CB7E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84,03%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Екатеринбург (МЕГА)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27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C17C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87,39%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Иркутск (Карамель)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283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84,21%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27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75,00%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58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80,67%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Казань (Кольцо)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283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84,21%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27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A7D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38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81,51%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Казань (МЕГА)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27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A7D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75,00%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283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76,47%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Краснодар (МЕГА)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CA7E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94,74%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C27C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55,00%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16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97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30,00%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679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62,18%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Липецк (</w:t>
            </w:r>
            <w:proofErr w:type="spellStart"/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Молл</w:t>
            </w:r>
            <w:proofErr w:type="spellEnd"/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A7D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58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90,00%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97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30,00%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483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75,63%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lastRenderedPageBreak/>
              <w:t>Мега Белая дача 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CA7E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94,74%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A7A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50,00%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97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30,00%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40,00%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C27C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55,00%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B279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61,34%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МЕГА Теплый 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F7E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63,16%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B279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45,00%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27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A8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D75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57,14%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Новосибирск (МЕГА)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97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30,00%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A7D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75,00%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E81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70,59%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proofErr w:type="spellStart"/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Нягань</w:t>
            </w:r>
            <w:proofErr w:type="spellEnd"/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(Оазис Плаза)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172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25,00%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96E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B279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45,00%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46,22%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Радуга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27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40,00%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F82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77,31%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Самара (</w:t>
            </w:r>
            <w:proofErr w:type="spellStart"/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Космопорт</w:t>
            </w:r>
            <w:proofErr w:type="spellEnd"/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C27C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55,00%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175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35,00%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A8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971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20,00%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977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59,66%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Самара (Парк Хаус)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83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78,95%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58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90,00%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97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30,00%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97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30,00%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27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68,07%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Саратов (Триумф)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83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78,95%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40,00%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082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97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30,00%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68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68,91%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Тюмень (Премьер)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CA7E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94,74%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082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A7A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50,00%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A7A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50,00%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283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76,47%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Уфа (МЕГА)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83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78,95%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A7D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58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90,00%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88,24%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Череповец (Июнь)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100,00%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27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16F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15,00%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A8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70,00%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974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30,00%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A7A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000000"/>
                <w:sz w:val="14"/>
                <w:szCs w:val="14"/>
              </w:rPr>
              <w:t>63,03%</w:t>
            </w:r>
          </w:p>
        </w:tc>
      </w:tr>
      <w:tr w:rsidR="00A14C4D" w:rsidRPr="00A14C4D" w:rsidTr="00A14C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14C4D" w:rsidRPr="00A14C4D" w:rsidRDefault="00A14C4D" w:rsidP="00A14C4D">
            <w:pPr>
              <w:spacing w:after="0" w:line="240" w:lineRule="auto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Общий итог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91,81%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94,44%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65,00%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46,11%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73,89%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58,06%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14C4D" w:rsidRPr="00A14C4D" w:rsidRDefault="00A14C4D" w:rsidP="00A14C4D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4"/>
                <w:szCs w:val="14"/>
              </w:rPr>
            </w:pPr>
            <w:r w:rsidRPr="00A14C4D">
              <w:rPr>
                <w:rFonts w:eastAsia="Times New Roman" w:cs="Times New Roman"/>
                <w:color w:val="FFFFFF"/>
                <w:sz w:val="14"/>
                <w:szCs w:val="14"/>
              </w:rPr>
              <w:t>71,38%</w:t>
            </w:r>
          </w:p>
        </w:tc>
      </w:tr>
    </w:tbl>
    <w:p w:rsidR="00A14C4D" w:rsidRPr="006E660B" w:rsidRDefault="00A14C4D" w:rsidP="00A14C4D">
      <w:pPr>
        <w:pStyle w:val="a3"/>
      </w:pPr>
      <w:bookmarkStart w:id="0" w:name="_GoBack"/>
      <w:bookmarkEnd w:id="0"/>
    </w:p>
    <w:sectPr w:rsidR="00A14C4D" w:rsidRPr="006E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594F"/>
    <w:multiLevelType w:val="hybridMultilevel"/>
    <w:tmpl w:val="FD66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46385"/>
    <w:multiLevelType w:val="hybridMultilevel"/>
    <w:tmpl w:val="5D5612A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D724FF"/>
    <w:multiLevelType w:val="hybridMultilevel"/>
    <w:tmpl w:val="2C36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4021A"/>
    <w:multiLevelType w:val="hybridMultilevel"/>
    <w:tmpl w:val="9E90AB5C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82426FE"/>
    <w:multiLevelType w:val="hybridMultilevel"/>
    <w:tmpl w:val="53E4A75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B957F6"/>
    <w:multiLevelType w:val="hybridMultilevel"/>
    <w:tmpl w:val="A2CA9E5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B36028D"/>
    <w:multiLevelType w:val="hybridMultilevel"/>
    <w:tmpl w:val="FD36CD5E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417F63"/>
    <w:multiLevelType w:val="hybridMultilevel"/>
    <w:tmpl w:val="B9E87DA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0B"/>
    <w:rsid w:val="0031131B"/>
    <w:rsid w:val="004A062B"/>
    <w:rsid w:val="0059524C"/>
    <w:rsid w:val="00597E30"/>
    <w:rsid w:val="005C4FD4"/>
    <w:rsid w:val="006E660B"/>
    <w:rsid w:val="008A4102"/>
    <w:rsid w:val="00A14C4D"/>
    <w:rsid w:val="00BE5EA0"/>
    <w:rsid w:val="00C84CD3"/>
    <w:rsid w:val="00E473CF"/>
    <w:rsid w:val="00F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Гук</dc:creator>
  <cp:lastModifiedBy>Анжела Гук</cp:lastModifiedBy>
  <cp:revision>8</cp:revision>
  <dcterms:created xsi:type="dcterms:W3CDTF">2014-08-18T10:58:00Z</dcterms:created>
  <dcterms:modified xsi:type="dcterms:W3CDTF">2014-08-18T11:42:00Z</dcterms:modified>
</cp:coreProperties>
</file>